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color w:val="222222"/>
          <w:sz w:val="28"/>
          <w:szCs w:val="28"/>
          <w:highlight w:val="white"/>
        </w:rPr>
      </w:pPr>
      <w:r w:rsidDel="00000000" w:rsidR="00000000" w:rsidRPr="00000000">
        <w:rPr>
          <w:rFonts w:ascii="Quattrocento Sans" w:cs="Quattrocento Sans" w:eastAsia="Quattrocento Sans" w:hAnsi="Quattrocento Sans"/>
          <w:b w:val="1"/>
          <w:color w:val="222222"/>
          <w:sz w:val="28"/>
          <w:szCs w:val="28"/>
          <w:highlight w:val="white"/>
          <w:rtl w:val="0"/>
        </w:rPr>
        <w:t xml:space="preserve">A Sweet Savor 103 — More Keys to the Serving Life</w:t>
      </w:r>
    </w:p>
    <w:p w:rsidR="00000000" w:rsidDel="00000000" w:rsidP="00000000" w:rsidRDefault="00000000" w:rsidRPr="00000000" w14:paraId="00000002">
      <w:pPr>
        <w:rPr>
          <w:rFonts w:ascii="Quattrocento Sans" w:cs="Quattrocento Sans" w:eastAsia="Quattrocento Sans" w:hAnsi="Quattrocento Sans"/>
          <w:b w:val="1"/>
          <w:color w:val="222222"/>
          <w:highlight w:val="whit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Course Description:</w:t>
      </w:r>
    </w:p>
    <w:p w:rsidR="00000000" w:rsidDel="00000000" w:rsidP="00000000" w:rsidRDefault="00000000" w:rsidRPr="00000000" w14:paraId="00000004">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05">
      <w:pPr>
        <w:spacing w:after="80" w:line="276" w:lineRule="auto"/>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The book of Second Corinthians can be read as the apostle Paul's autobiography. In this letter he reveals both his attitude and the secrets he learned in serving the Lord. The key to his serving life is that he became a "savor" (or aroma) that attracted and affected others. He said, "For we are to God the fragrance of Christ among those who are being saved and among those who are perishing." (2 Corinthians 2:15).</w:t>
      </w:r>
    </w:p>
    <w:p w:rsidR="00000000" w:rsidDel="00000000" w:rsidP="00000000" w:rsidRDefault="00000000" w:rsidRPr="00000000" w14:paraId="00000006">
      <w:pPr>
        <w:spacing w:after="80" w:line="276" w:lineRule="auto"/>
        <w:rPr>
          <w:rFonts w:ascii="Quattrocento Sans" w:cs="Quattrocento Sans" w:eastAsia="Quattrocento Sans" w:hAnsi="Quattrocento Sans"/>
          <w:color w:val="222222"/>
          <w:sz w:val="24"/>
          <w:szCs w:val="24"/>
          <w:highlight w:val="white"/>
        </w:rPr>
      </w:pPr>
      <w:r w:rsidDel="00000000" w:rsidR="00000000" w:rsidRPr="00000000">
        <w:rPr>
          <w:rtl w:val="0"/>
        </w:rPr>
      </w:r>
    </w:p>
    <w:p w:rsidR="00000000" w:rsidDel="00000000" w:rsidP="00000000" w:rsidRDefault="00000000" w:rsidRPr="00000000" w14:paraId="00000007">
      <w:pPr>
        <w:spacing w:after="80" w:line="276" w:lineRule="auto"/>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Desiring to serve is a normal response to loving the Lord with our whole heart. We will complete our study of our brother and Apostle Paul’s testimony of how he learned to serve. The text will be the second letter that Paul wrote to the Corinthians. In the spring term, we will read chapters seven to thirteen. We will also include excerpts from messages that brother Titus gave to a group of brothers and sisters who were learning to serve. The course structure will be the teachers’ sharing as well as discussion groups to consider both Paul's teaching and experience.</w:t>
      </w:r>
    </w:p>
    <w:p w:rsidR="00000000" w:rsidDel="00000000" w:rsidP="00000000" w:rsidRDefault="00000000" w:rsidRPr="00000000" w14:paraId="00000008">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Instructors:​​</w:t>
      </w:r>
      <w:r w:rsidDel="00000000" w:rsidR="00000000" w:rsidRPr="00000000">
        <w:rPr>
          <w:rFonts w:ascii="Quattrocento Sans" w:cs="Quattrocento Sans" w:eastAsia="Quattrocento Sans" w:hAnsi="Quattrocento Sans"/>
          <w:color w:val="222222"/>
          <w:sz w:val="24"/>
          <w:szCs w:val="24"/>
          <w:highlight w:val="white"/>
          <w:rtl w:val="0"/>
        </w:rPr>
        <w:t xml:space="preserve"> Kurt Sheu &amp; Jeff Brown</w:t>
      </w:r>
    </w:p>
    <w:p w:rsidR="00000000" w:rsidDel="00000000" w:rsidP="00000000" w:rsidRDefault="00000000" w:rsidRPr="00000000" w14:paraId="0000000A">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Time:</w:t>
      </w:r>
      <w:r w:rsidDel="00000000" w:rsidR="00000000" w:rsidRPr="00000000">
        <w:rPr>
          <w:rFonts w:ascii="Quattrocento Sans" w:cs="Quattrocento Sans" w:eastAsia="Quattrocento Sans" w:hAnsi="Quattrocento Sans"/>
          <w:color w:val="222222"/>
          <w:sz w:val="24"/>
          <w:szCs w:val="24"/>
          <w:highlight w:val="white"/>
          <w:rtl w:val="0"/>
        </w:rPr>
        <w:t xml:space="preserve"> Wednesdays 9:00 – 10:00 PM ET</w:t>
      </w:r>
    </w:p>
    <w:p w:rsidR="00000000" w:rsidDel="00000000" w:rsidP="00000000" w:rsidRDefault="00000000" w:rsidRPr="00000000" w14:paraId="0000000B">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Class Size:</w:t>
      </w:r>
      <w:r w:rsidDel="00000000" w:rsidR="00000000" w:rsidRPr="00000000">
        <w:rPr>
          <w:rFonts w:ascii="Quattrocento Sans" w:cs="Quattrocento Sans" w:eastAsia="Quattrocento Sans" w:hAnsi="Quattrocento Sans"/>
          <w:color w:val="222222"/>
          <w:sz w:val="24"/>
          <w:szCs w:val="24"/>
          <w:highlight w:val="white"/>
          <w:rtl w:val="0"/>
        </w:rPr>
        <w:t xml:space="preserve"> No limit</w:t>
      </w:r>
    </w:p>
    <w:p w:rsidR="00000000" w:rsidDel="00000000" w:rsidP="00000000" w:rsidRDefault="00000000" w:rsidRPr="00000000" w14:paraId="0000000C">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D">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Goal: </w:t>
      </w:r>
      <w:r w:rsidDel="00000000" w:rsidR="00000000" w:rsidRPr="00000000">
        <w:rPr>
          <w:rFonts w:ascii="Quattrocento Sans" w:cs="Quattrocento Sans" w:eastAsia="Quattrocento Sans" w:hAnsi="Quattrocento Sans"/>
          <w:sz w:val="24"/>
          <w:szCs w:val="24"/>
          <w:highlight w:val="white"/>
          <w:rtl w:val="0"/>
        </w:rPr>
        <w:t xml:space="preserve">To help students learn to serve by studying Paul’s teaching and experience.</w:t>
      </w:r>
    </w:p>
    <w:p w:rsidR="00000000" w:rsidDel="00000000" w:rsidP="00000000" w:rsidRDefault="00000000" w:rsidRPr="00000000" w14:paraId="0000000E">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F">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Course structure: </w:t>
      </w:r>
      <w:r w:rsidDel="00000000" w:rsidR="00000000" w:rsidRPr="00000000">
        <w:rPr>
          <w:rFonts w:ascii="Quattrocento Sans" w:cs="Quattrocento Sans" w:eastAsia="Quattrocento Sans" w:hAnsi="Quattrocento Sans"/>
          <w:sz w:val="24"/>
          <w:szCs w:val="24"/>
          <w:highlight w:val="white"/>
          <w:rtl w:val="0"/>
        </w:rPr>
        <w:t xml:space="preserve">The course structure will be the teachers’ sharing as well as discussion groups to consider both Paul's teaching and experience.</w:t>
      </w:r>
    </w:p>
    <w:p w:rsidR="00000000" w:rsidDel="00000000" w:rsidP="00000000" w:rsidRDefault="00000000" w:rsidRPr="00000000" w14:paraId="00000010">
      <w:pPr>
        <w:rPr>
          <w:rFonts w:ascii="Quattrocento Sans" w:cs="Quattrocento Sans" w:eastAsia="Quattrocento Sans" w:hAnsi="Quattrocento Sans"/>
          <w:b w:val="1"/>
          <w:sz w:val="24"/>
          <w:szCs w:val="24"/>
          <w:highlight w:val="white"/>
        </w:rPr>
      </w:pPr>
      <w:r w:rsidDel="00000000" w:rsidR="00000000" w:rsidRPr="00000000">
        <w:rPr>
          <w:rtl w:val="0"/>
        </w:rPr>
      </w:r>
    </w:p>
    <w:p w:rsidR="00000000" w:rsidDel="00000000" w:rsidP="00000000" w:rsidRDefault="00000000" w:rsidRPr="00000000" w14:paraId="00000011">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Text: </w:t>
      </w:r>
      <w:r w:rsidDel="00000000" w:rsidR="00000000" w:rsidRPr="00000000">
        <w:rPr>
          <w:rFonts w:ascii="Quattrocento Sans" w:cs="Quattrocento Sans" w:eastAsia="Quattrocento Sans" w:hAnsi="Quattrocento Sans"/>
          <w:sz w:val="24"/>
          <w:szCs w:val="24"/>
          <w:highlight w:val="white"/>
          <w:rtl w:val="0"/>
        </w:rPr>
        <w:t xml:space="preserve">The Bible (2 Corinthians and other related verses)</w:t>
      </w:r>
    </w:p>
    <w:p w:rsidR="00000000" w:rsidDel="00000000" w:rsidP="00000000" w:rsidRDefault="00000000" w:rsidRPr="00000000" w14:paraId="00000012">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13">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14">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15">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16">
      <w:pPr>
        <w:ind w:left="0" w:firstLine="0"/>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17">
      <w:pPr>
        <w:rPr>
          <w:rFonts w:ascii="Quattrocento Sans" w:cs="Quattrocento Sans" w:eastAsia="Quattrocento Sans" w:hAnsi="Quattrocento Sans"/>
          <w:color w:val="222222"/>
          <w:sz w:val="24"/>
          <w:szCs w:val="24"/>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